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60443fc43e0179c71c0217343ee42e32030e8"/>
    <w:p>
      <w:pPr>
        <w:pStyle w:val="Heading1"/>
      </w:pPr>
      <w:r>
        <w:t xml:space="preserve">STARTER PUBLIC RECORDS REQUEST — ANY TEXAS COUNTY</w:t>
      </w:r>
    </w:p>
    <w:bookmarkStart w:id="20" w:name="X51b4945931db9bb912bbce7bf47e5b3ec6e50ff"/>
    <w:p>
      <w:pPr>
        <w:pStyle w:val="Heading3"/>
      </w:pPr>
      <w:r>
        <w:t xml:space="preserve">Find out what is actually happening in your county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WHY THIS DOCUMENT EXISTS</w:t>
      </w:r>
    </w:p>
    <w:p>
      <w:pPr>
        <w:pStyle w:val="BlockText"/>
      </w:pPr>
      <w:r>
        <w:t xml:space="preserve">One Texas county party sent eleven separate records requests before learning which questions actually matter.</w:t>
      </w:r>
      <w:r>
        <w:t xml:space="preserve"> </w:t>
      </w:r>
      <w:r>
        <w:rPr>
          <w:bCs/>
          <w:b/>
        </w:rPr>
        <w:t xml:space="preserve">This is the distillation of that work — the fourteen items that produced everything useful.</w:t>
      </w:r>
      <w:r>
        <w:t xml:space="preserve"> </w:t>
      </w:r>
      <w:r>
        <w:t xml:space="preserve">You can skip the eleven.</w:t>
      </w:r>
    </w:p>
    <w:p>
      <w:pPr>
        <w:pStyle w:val="BlockText"/>
      </w:pPr>
      <w:r>
        <w:rPr>
          <w:bCs/>
          <w:b/>
        </w:rPr>
        <w:t xml:space="preserve">Three things learned the hard way, built into the request below:</w:t>
      </w:r>
    </w:p>
    <w:p>
      <w:pPr>
        <w:pStyle w:val="BlockText"/>
      </w:pPr>
      <w:r>
        <w:rPr>
          <w:bCs/>
          <w:b/>
        </w:rPr>
        <w:t xml:space="preserve">1. Address it to the County, not just the Sheriff.</w:t>
      </w:r>
      <w:r>
        <w:t xml:space="preserve"> </w:t>
      </w:r>
      <w:r>
        <w:t xml:space="preserve">Requests sent only to a sheriff’s office come back</w:t>
      </w:r>
      <w:r>
        <w:t xml:space="preserve"> </w:t>
      </w:r>
      <w:r>
        <w:t xml:space="preserve">“</w:t>
      </w:r>
      <w:r>
        <w:t xml:space="preserve">no responsive documents</w:t>
      </w:r>
      <w:r>
        <w:t xml:space="preserve">”</w:t>
      </w:r>
      <w:r>
        <w:t xml:space="preserve"> </w:t>
      </w:r>
      <w:r>
        <w:t xml:space="preserve">— because the contract, the invoices, and the governing-body records sit with the Auditor and the County Judge. That single error accounts for most stonewalling.</w:t>
      </w:r>
    </w:p>
    <w:p>
      <w:pPr>
        <w:pStyle w:val="BlockText"/>
      </w:pPr>
      <w:r>
        <w:rPr>
          <w:bCs/>
          <w:b/>
        </w:rPr>
        <w:t xml:space="preserve">2. Demand item-by-item answers.</w:t>
      </w:r>
      <w:r>
        <w:t xml:space="preserve"> </w:t>
      </w:r>
      <w:r>
        <w:t xml:space="preserve">A blanket</w:t>
      </w:r>
      <w:r>
        <w:t xml:space="preserve"> </w:t>
      </w:r>
      <w:r>
        <w:t xml:space="preserve">“</w:t>
      </w:r>
      <w:r>
        <w:t xml:space="preserve">we have nothing</w:t>
      </w:r>
      <w:r>
        <w:t xml:space="preserve">”</w:t>
      </w:r>
      <w:r>
        <w:t xml:space="preserve"> </w:t>
      </w:r>
      <w:r>
        <w:t xml:space="preserve">is unfalsifiable. A per-item answer is a document you can hold up against their own policy.</w:t>
      </w:r>
    </w:p>
    <w:p>
      <w:pPr>
        <w:pStyle w:val="BlockText"/>
      </w:pPr>
      <w:r>
        <w:rPr>
          <w:bCs/>
          <w:b/>
        </w:rPr>
        <w:t xml:space="preserve">3. Ask for the ALPR policy first.</w:t>
      </w:r>
      <w:r>
        <w:t xml:space="preserve"> </w:t>
      </w:r>
      <w:r>
        <w:t xml:space="preserve">Almost every agency has one, most will produce it without a fight, and it will tell you exactly what audits, logs, and agreements are</w:t>
      </w:r>
      <w:r>
        <w:t xml:space="preserve"> </w:t>
      </w:r>
      <w:r>
        <w:rPr>
          <w:iCs/>
          <w:i/>
        </w:rPr>
        <w:t xml:space="preserve">supposed</w:t>
      </w:r>
      <w:r>
        <w:t xml:space="preserve"> </w:t>
      </w:r>
      <w:r>
        <w:t xml:space="preserve">to exist.</w:t>
      </w:r>
      <w:r>
        <w:t xml:space="preserve"> </w:t>
      </w:r>
      <w:r>
        <w:rPr>
          <w:bCs/>
          <w:b/>
        </w:rPr>
        <w:t xml:space="preserve">Then ask for those.</w:t>
      </w:r>
      <w:r>
        <w:t xml:space="preserve"> </w:t>
      </w:r>
      <w:r>
        <w:t xml:space="preserve">When they say those records don’t exist, you have the agency’s own policy contradicting it — and that contradiction is worth more than any argument you could make.</w:t>
      </w:r>
    </w:p>
    <w:p>
      <w:pPr>
        <w:pStyle w:val="BlockText"/>
      </w:pPr>
      <w:r>
        <w:rPr>
          <w:bCs/>
          <w:b/>
        </w:rPr>
        <w:t xml:space="preserve">Send it to two custodians in parallel</w:t>
      </w:r>
      <w:r>
        <w:t xml:space="preserve"> </w:t>
      </w:r>
      <w:r>
        <w:t xml:space="preserve">— the Sheriff’s Office and the County Auditor — and to your city police department separately.</w:t>
      </w:r>
      <w:r>
        <w:t xml:space="preserve"> </w:t>
      </w:r>
      <w:r>
        <w:rPr>
          <w:iCs/>
          <w:i/>
        </w:rPr>
        <w:t xml:space="preserve">Delete this box before sending.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[DATE]</w:t>
      </w:r>
    </w:p>
    <w:p>
      <w:pPr>
        <w:pStyle w:val="BodyText"/>
      </w:pPr>
      <w:r>
        <w:rPr>
          <w:bCs/>
          <w:b/>
        </w:rPr>
        <w:t xml:space="preserve">BY EMAIL AND CERTIFIED MAIL</w:t>
      </w:r>
    </w:p>
    <w:p>
      <w:pPr>
        <w:pStyle w:val="BodyText"/>
      </w:pPr>
      <w:r>
        <w:t xml:space="preserve">[Sheriff / Chief of Police / County Auditor / City Secretary]</w:t>
      </w:r>
      <w:r>
        <w:br/>
      </w:r>
      <w:r>
        <w:t xml:space="preserve">[Agency], [Address]</w:t>
      </w:r>
    </w:p>
    <w:p>
      <w:pPr>
        <w:pStyle w:val="BodyText"/>
      </w:pPr>
      <w:r>
        <w:rPr>
          <w:bCs/>
          <w:b/>
        </w:rPr>
        <w:t xml:space="preserve">cc:</w:t>
      </w:r>
      <w:r>
        <w:t xml:space="preserve"> </w:t>
      </w:r>
      <w:r>
        <w:t xml:space="preserve">County Judge · County Auditor · County Clerk</w:t>
      </w:r>
    </w:p>
    <w:p>
      <w:pPr>
        <w:pStyle w:val="BodyText"/>
      </w:pPr>
      <w:r>
        <w:rPr>
          <w:bCs/>
          <w:b/>
        </w:rPr>
        <w:t xml:space="preserve">RE: REQUEST FOR PUBLIC INFORMATION — Texas Government Code Chapter 552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Pursuant to the Texas Public Information Act, I request copies of the existing public records described below in the possession, custody, or control of</w:t>
      </w:r>
      <w:r>
        <w:t xml:space="preserve"> </w:t>
      </w:r>
      <w:r>
        <w:rPr>
          <w:bCs/>
          <w:b/>
        </w:rPr>
        <w:t xml:space="preserve">[COUNTY] County / the City of [___]</w:t>
      </w:r>
      <w:r>
        <w:t xml:space="preserve"> </w:t>
      </w:r>
      <w:r>
        <w:t xml:space="preserve">— including records held by the Sheriff’s Office, the County Judge, the Commissioners Court, the County Auditor, and the County Treasurer.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ALPR</w:t>
      </w:r>
      <w:r>
        <w:rPr>
          <w:bCs/>
          <w:b/>
        </w:rPr>
        <w:t xml:space="preserve">”</w:t>
      </w:r>
      <w:r>
        <w:t xml:space="preserve"> </w:t>
      </w:r>
      <w:r>
        <w:t xml:space="preserve">means any automated license plate reader or comparable vehicle-identification technology, regardless of vendor, including systems provided by Flock Safety.</w:t>
      </w:r>
      <w:r>
        <w:br/>
      </w:r>
      <w:r>
        <w:rPr>
          <w:bCs/>
          <w:b/>
        </w:rPr>
        <w:t xml:space="preserve">Time period: January 1, 2020 to the present.</w:t>
      </w:r>
    </w:p>
    <w:bookmarkEnd w:id="20"/>
    <w:bookmarkStart w:id="21" w:name="records-requested"/>
    <w:p>
      <w:pPr>
        <w:pStyle w:val="Heading2"/>
      </w:pPr>
      <w:r>
        <w:t xml:space="preserve">RECORDS REQUESTED</w:t>
      </w:r>
    </w:p>
    <w:p>
      <w:pPr>
        <w:pStyle w:val="FirstParagraph"/>
      </w:pPr>
      <w:r>
        <w:rPr>
          <w:bCs/>
          <w:b/>
        </w:rPr>
        <w:t xml:space="preserve">Policy and authorization</w:t>
      </w:r>
    </w:p>
    <w:p>
      <w:pPr>
        <w:numPr>
          <w:ilvl w:val="0"/>
          <w:numId w:val="1001"/>
        </w:numPr>
        <w:pStyle w:val="Compact"/>
      </w:pPr>
      <w:r>
        <w:t xml:space="preserve">The agency’s written</w:t>
      </w:r>
      <w:r>
        <w:t xml:space="preserve"> </w:t>
      </w:r>
      <w:r>
        <w:rPr>
          <w:bCs/>
          <w:b/>
        </w:rPr>
        <w:t xml:space="preserve">ALPR policy</w:t>
      </w:r>
      <w:r>
        <w:t xml:space="preserve">, including every version and revision, with effective dates.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Commissioners Court or City Council orders, resolutions, minutes, and agenda items</w:t>
      </w:r>
      <w:r>
        <w:t xml:space="preserve"> </w:t>
      </w:r>
      <w:r>
        <w:t xml:space="preserve">approving, ratifying, or authorizing any ALPR contract, purchase, or program.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posted agenda and notice</w:t>
      </w:r>
      <w:r>
        <w:t xml:space="preserve"> </w:t>
      </w:r>
      <w:r>
        <w:t xml:space="preserve">for each such meeting, with the complete caption text, and records showing the</w:t>
      </w:r>
      <w:r>
        <w:t xml:space="preserve"> </w:t>
      </w:r>
      <w:r>
        <w:rPr>
          <w:bCs/>
          <w:b/>
        </w:rPr>
        <w:t xml:space="preserve">date and time of posting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Records identifying</w:t>
      </w:r>
      <w:r>
        <w:t xml:space="preserve"> </w:t>
      </w:r>
      <w:r>
        <w:rPr>
          <w:bCs/>
          <w:b/>
        </w:rPr>
        <w:t xml:space="preserve">who signed</w:t>
      </w:r>
      <w:r>
        <w:t xml:space="preserve"> </w:t>
      </w:r>
      <w:r>
        <w:t xml:space="preserve">any ALPR contract on behalf of the government, the</w:t>
      </w:r>
      <w:r>
        <w:t xml:space="preserve"> </w:t>
      </w:r>
      <w:r>
        <w:rPr>
          <w:bCs/>
          <w:b/>
        </w:rPr>
        <w:t xml:space="preserve">date signed</w:t>
      </w:r>
      <w:r>
        <w:t xml:space="preserve">, and the</w:t>
      </w:r>
      <w:r>
        <w:t xml:space="preserve"> </w:t>
      </w:r>
      <w:r>
        <w:rPr>
          <w:bCs/>
          <w:b/>
        </w:rPr>
        <w:t xml:space="preserve">written authority</w:t>
      </w:r>
      <w:r>
        <w:t xml:space="preserve"> </w:t>
      </w:r>
      <w:r>
        <w:t xml:space="preserve">relied upon to bind it.</w:t>
      </w:r>
    </w:p>
    <w:p>
      <w:pPr>
        <w:pStyle w:val="FirstParagraph"/>
      </w:pPr>
      <w:r>
        <w:rPr>
          <w:bCs/>
          <w:b/>
        </w:rPr>
        <w:t xml:space="preserve">Money</w:t>
      </w:r>
    </w:p>
    <w:p>
      <w:pPr>
        <w:numPr>
          <w:ilvl w:val="0"/>
          <w:numId w:val="1002"/>
        </w:numPr>
        <w:pStyle w:val="Compact"/>
      </w:pPr>
      <w:r>
        <w:t xml:space="preserve">The complete</w:t>
      </w:r>
      <w:r>
        <w:t xml:space="preserve"> </w:t>
      </w:r>
      <w:r>
        <w:rPr>
          <w:bCs/>
          <w:b/>
        </w:rPr>
        <w:t xml:space="preserve">contract</w:t>
      </w:r>
      <w:r>
        <w:t xml:space="preserve">, including all exhibits, amendments, renewals, and the</w:t>
      </w:r>
      <w:r>
        <w:t xml:space="preserve"> </w:t>
      </w:r>
      <w:r>
        <w:rPr>
          <w:bCs/>
          <w:b/>
        </w:rPr>
        <w:t xml:space="preserve">current term and renewal date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invoices, purchase orders, and payment records</w:t>
      </w:r>
      <w:r>
        <w:t xml:space="preserve">, and the total paid by fiscal year.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bid solicitations, bid tabulations, sole-source justifications, or exemption determinations</w:t>
      </w:r>
      <w:r>
        <w:t xml:space="preserve"> </w:t>
      </w:r>
      <w:r>
        <w:t xml:space="preserve">relied upon to acquire the system, including any determination under Chapter 262 of the Local Government Code.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grant applications and awards</w:t>
      </w:r>
      <w:r>
        <w:t xml:space="preserve"> </w:t>
      </w:r>
      <w:r>
        <w:t xml:space="preserve">funding any part of the program.</w:t>
      </w:r>
    </w:p>
    <w:p>
      <w:pPr>
        <w:pStyle w:val="FirstParagraph"/>
      </w:pPr>
      <w:r>
        <w:rPr>
          <w:bCs/>
          <w:b/>
        </w:rPr>
        <w:t xml:space="preserve">Operations — ask for these using your own agency’s policy as the roadmap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audit trails and access logs</w:t>
      </w:r>
      <w:r>
        <w:t xml:space="preserve"> </w:t>
      </w:r>
      <w:r>
        <w:t xml:space="preserve">required by the agency’s ALPR policy, including records of queries run, by whom, when, and the stated justification.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completed audits or compliance reviews</w:t>
      </w:r>
      <w:r>
        <w:t xml:space="preserve"> </w:t>
      </w:r>
      <w:r>
        <w:t xml:space="preserve">required by that policy.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data-sharing agreements, MOUs, or user agreements</w:t>
      </w:r>
      <w:r>
        <w:t xml:space="preserve"> </w:t>
      </w:r>
      <w:r>
        <w:t xml:space="preserve">with any other agency, including the Texas Department of Public Safety, any fusion center, any federal agency, and any out-of-state agency.</w:t>
      </w:r>
    </w:p>
    <w:p>
      <w:pPr>
        <w:numPr>
          <w:ilvl w:val="0"/>
          <w:numId w:val="1003"/>
        </w:numPr>
        <w:pStyle w:val="Compact"/>
      </w:pPr>
      <w:r>
        <w:t xml:space="preserve">All records identifying</w:t>
      </w:r>
      <w:r>
        <w:t xml:space="preserve"> </w:t>
      </w:r>
      <w:r>
        <w:rPr>
          <w:bCs/>
          <w:b/>
        </w:rPr>
        <w:t xml:space="preserve">camera locations</w:t>
      </w:r>
      <w:r>
        <w:t xml:space="preserve"> </w:t>
      </w:r>
      <w:r>
        <w:t xml:space="preserve">and installation dates.</w:t>
      </w:r>
    </w:p>
    <w:p>
      <w:pPr>
        <w:numPr>
          <w:ilvl w:val="0"/>
          <w:numId w:val="1003"/>
        </w:numPr>
        <w:pStyle w:val="Compact"/>
      </w:pPr>
      <w:r>
        <w:t xml:space="preserve">All records of any</w:t>
      </w:r>
      <w:r>
        <w:t xml:space="preserve"> </w:t>
      </w:r>
      <w:r>
        <w:rPr>
          <w:bCs/>
          <w:b/>
        </w:rPr>
        <w:t xml:space="preserve">misuse, unauthorized access, security incident, or disciplinary action</w:t>
      </w:r>
      <w:r>
        <w:t xml:space="preserve"> </w:t>
      </w:r>
      <w:r>
        <w:t xml:space="preserve">involving the system.</w:t>
      </w:r>
    </w:p>
    <w:p>
      <w:pPr>
        <w:numPr>
          <w:ilvl w:val="0"/>
          <w:numId w:val="1003"/>
        </w:numPr>
        <w:pStyle w:val="Compact"/>
      </w:pPr>
      <w:r>
        <w:t xml:space="preserve">All records of any</w:t>
      </w:r>
      <w:r>
        <w:t xml:space="preserve"> </w:t>
      </w:r>
      <w:r>
        <w:rPr>
          <w:bCs/>
          <w:b/>
        </w:rPr>
        <w:t xml:space="preserve">TxDOT Multiple Use Agreement or roadway permit</w:t>
      </w:r>
      <w:r>
        <w:t xml:space="preserve"> </w:t>
      </w:r>
      <w:r>
        <w:t xml:space="preserve">for camera placement in state right-of-way.</w:t>
      </w:r>
    </w:p>
    <w:bookmarkEnd w:id="21"/>
    <w:bookmarkStart w:id="22" w:name="procedural-requests-do-not-delete-these"/>
    <w:p>
      <w:pPr>
        <w:pStyle w:val="Heading2"/>
      </w:pPr>
      <w:r>
        <w:t xml:space="preserve">PROCEDURAL REQUESTS — DO NOT DELETE THESE</w:t>
      </w:r>
    </w:p>
    <w:p>
      <w:pPr>
        <w:numPr>
          <w:ilvl w:val="0"/>
          <w:numId w:val="1004"/>
        </w:numPr>
        <w:pStyle w:val="Compact"/>
      </w:pPr>
      <w:r>
        <w:t xml:space="preserve">Please produce in electronic format by email or download link.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If no responsive record exists as to a numbered item, please state that in writing as to that item specifically.</w:t>
      </w:r>
      <w:r>
        <w:t xml:space="preserve"> </w:t>
      </w:r>
      <w:r>
        <w:t xml:space="preserve">A general statement that no responsive records exist will not permit me to evaluate the response.</w:t>
      </w:r>
    </w:p>
    <w:p>
      <w:pPr>
        <w:numPr>
          <w:ilvl w:val="0"/>
          <w:numId w:val="1004"/>
        </w:numPr>
        <w:pStyle w:val="Compact"/>
      </w:pPr>
      <w:r>
        <w:t xml:space="preserve">Please identify</w:t>
      </w:r>
      <w:r>
        <w:t xml:space="preserve"> </w:t>
      </w:r>
      <w:r>
        <w:rPr>
          <w:bCs/>
          <w:b/>
        </w:rPr>
        <w:t xml:space="preserve">which offices and custodians were searched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what search terms were used</w:t>
      </w:r>
      <w:r>
        <w:t xml:space="preserve">, including whether email, text messages, and personally owned devices were searched as contemplated by §552.233.</w:t>
      </w:r>
    </w:p>
    <w:p>
      <w:pPr>
        <w:numPr>
          <w:ilvl w:val="0"/>
          <w:numId w:val="1004"/>
        </w:numPr>
        <w:pStyle w:val="Compact"/>
      </w:pPr>
      <w:r>
        <w:t xml:space="preserve">Under</w:t>
      </w:r>
      <w:r>
        <w:t xml:space="preserve"> </w:t>
      </w:r>
      <w:r>
        <w:rPr>
          <w:bCs/>
          <w:b/>
        </w:rPr>
        <w:t xml:space="preserve">§552.022(a)(3)</w:t>
      </w:r>
      <w:r>
        <w:t xml:space="preserve">, information in a contract or account relating to the expenditure of public funds is expressly public. I ask that items 5 through 8 be treated accordingly and produced promptly under §552.221.</w:t>
      </w:r>
    </w:p>
    <w:p>
      <w:pPr>
        <w:numPr>
          <w:ilvl w:val="0"/>
          <w:numId w:val="1004"/>
        </w:numPr>
        <w:pStyle w:val="Compact"/>
      </w:pPr>
      <w:r>
        <w:t xml:space="preserve">If any portion is withheld, identify the specific exception as to</w:t>
      </w:r>
      <w:r>
        <w:t xml:space="preserve"> </w:t>
      </w:r>
      <w:r>
        <w:rPr>
          <w:bCs/>
          <w:b/>
        </w:rPr>
        <w:t xml:space="preserve">each record</w:t>
      </w:r>
      <w:r>
        <w:t xml:space="preserve"> </w:t>
      </w:r>
      <w:r>
        <w:t xml:space="preserve">and comply with §552.301, including providing me the written notice and copy of the ruling request required by §552.301(d).</w:t>
      </w:r>
    </w:p>
    <w:p>
      <w:pPr>
        <w:numPr>
          <w:ilvl w:val="0"/>
          <w:numId w:val="1004"/>
        </w:numPr>
        <w:pStyle w:val="Compact"/>
      </w:pPr>
      <w:r>
        <w:t xml:space="preserve">If a previous determination is relied upon, identify it specifically.</w:t>
      </w:r>
    </w:p>
    <w:p>
      <w:pPr>
        <w:numPr>
          <w:ilvl w:val="0"/>
          <w:numId w:val="1004"/>
        </w:numPr>
        <w:pStyle w:val="Compact"/>
      </w:pPr>
      <w:r>
        <w:t xml:space="preserve">Under §552.222, if any portion requires clarification, identify</w:t>
      </w:r>
      <w:r>
        <w:t xml:space="preserve"> </w:t>
      </w:r>
      <w:r>
        <w:rPr>
          <w:bCs/>
          <w:b/>
        </w:rPr>
        <w:t xml:space="preserve">that specific portion</w:t>
      </w:r>
      <w:r>
        <w:t xml:space="preserve"> </w:t>
      </w:r>
      <w:r>
        <w:t xml:space="preserve">rather than treating the request as overbroad. I am glad to narrow by date or custodian.</w:t>
      </w:r>
    </w:p>
    <w:p>
      <w:pPr>
        <w:numPr>
          <w:ilvl w:val="0"/>
          <w:numId w:val="1004"/>
        </w:numPr>
        <w:pStyle w:val="Compact"/>
      </w:pPr>
      <w:r>
        <w:t xml:space="preserve">If costs will exceed $40.00, provide an itemized estimate before proceeding, per §552.2615.</w:t>
      </w:r>
    </w:p>
    <w:p>
      <w:pPr>
        <w:numPr>
          <w:ilvl w:val="0"/>
          <w:numId w:val="1004"/>
        </w:numPr>
        <w:pStyle w:val="Compact"/>
      </w:pPr>
      <w:r>
        <w:t xml:space="preserve">Public information includes information held by a vendor on the government’s behalf where the government owns it or has a right of access. Please include records held by the ALPR vendor on that basis.</w:t>
      </w:r>
    </w:p>
    <w:p>
      <w:pPr>
        <w:pStyle w:val="FirstParagraph"/>
      </w:pPr>
      <w:r>
        <w:t xml:space="preserve">Thank you.</w:t>
      </w:r>
    </w:p>
    <w:p>
      <w:pPr>
        <w:pStyle w:val="BodyText"/>
      </w:pPr>
      <w:r>
        <w:t xml:space="preserve">Respectfully,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[NAME]</w:t>
      </w:r>
      <w:r>
        <w:br/>
      </w:r>
      <w:r>
        <w:t xml:space="preserve">[Address] · [Email] · [Phone]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Cs/>
          <w:b/>
        </w:rPr>
        <w:t xml:space="preserve">WHAT TO DO WITH WHAT COMES BACK — delete before sending</w:t>
      </w:r>
    </w:p>
    <w:p>
      <w:pPr>
        <w:pStyle w:val="BlockText"/>
      </w:pPr>
      <w:r>
        <w:rPr>
          <w:bCs/>
          <w:b/>
        </w:rPr>
        <w:t xml:space="preserve">Log every response the day it arrives</w:t>
      </w:r>
      <w:r>
        <w:t xml:space="preserve">, quoting the agency’s exact words. Paraphrases are useless as evidence.</w:t>
      </w:r>
    </w:p>
    <w:p>
      <w:pPr>
        <w:pStyle w:val="BlockText"/>
      </w:pPr>
      <w:r>
        <w:rPr>
          <w:bCs/>
          <w:b/>
        </w:rPr>
        <w:t xml:space="preserve">Compare item 1 against items 9, 10, and 11.</w:t>
      </w:r>
      <w:r>
        <w:t xml:space="preserve"> </w:t>
      </w:r>
      <w:r>
        <w:t xml:space="preserve">If the policy mandates audit trails and the agency says no audit records exist, you have documented either non-compliance with its own policy or an inadequate search.</w:t>
      </w:r>
      <w:r>
        <w:t xml:space="preserve"> </w:t>
      </w:r>
      <w:r>
        <w:rPr>
          <w:bCs/>
          <w:b/>
        </w:rPr>
        <w:t xml:space="preserve">That is your strongest finding and it costs nothing to obtain.</w:t>
      </w:r>
    </w:p>
    <w:p>
      <w:pPr>
        <w:pStyle w:val="BlockText"/>
      </w:pPr>
      <w:r>
        <w:rPr>
          <w:bCs/>
          <w:b/>
        </w:rPr>
        <w:t xml:space="preserve">Compare item 1’s effective date against item 2’s earliest date.</w:t>
      </w:r>
      <w:r>
        <w:t xml:space="preserve"> </w:t>
      </w:r>
      <w:r>
        <w:t xml:space="preserve">If the policy predates any governing-body approval, ask who authorized the program in the gap.</w:t>
      </w:r>
    </w:p>
    <w:p>
      <w:pPr>
        <w:pStyle w:val="BlockText"/>
      </w:pPr>
      <w:r>
        <w:rPr>
          <w:bCs/>
          <w:b/>
        </w:rPr>
        <w:t xml:space="preserve">Put item 5’s renewal date on your calendar immediately.</w:t>
      </w:r>
      <w:r>
        <w:t xml:space="preserve"> </w:t>
      </w:r>
      <w:r>
        <w:t xml:space="preserve">It is the only date on which a camera actually comes down.</w:t>
      </w:r>
    </w:p>
    <w:p>
      <w:pPr>
        <w:pStyle w:val="BlockText"/>
      </w:pPr>
      <w:r>
        <w:rPr>
          <w:bCs/>
          <w:b/>
        </w:rPr>
        <w:t xml:space="preserve">Ten business days</w:t>
      </w:r>
      <w:r>
        <w:t xml:space="preserve"> </w:t>
      </w:r>
      <w:r>
        <w:t xml:space="preserve">is the benchmark. If the agency neither produces nor seeks an Attorney General ruling within ten business days, note it — that is a §552.221 problem.</w:t>
      </w:r>
    </w:p>
    <w:p>
      <w:pPr>
        <w:pStyle w:val="BlockText"/>
      </w:pPr>
      <w:r>
        <w:rPr>
          <w:bCs/>
          <w:b/>
        </w:rPr>
        <w:t xml:space="preserve">Never explain why you want the records.</w:t>
      </w:r>
      <w:r>
        <w:t xml:space="preserve"> </w:t>
      </w:r>
      <w:r>
        <w:t xml:space="preserve">§552.222(a) forbids them from asking, and you do not answer.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5">
    <w:nsid w:val="A9941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19">
    <w:nsid w:val="A9941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2026-08-22T04:55:35Z</dcterms:created>
  <dcterms:modified xsi:type="dcterms:W3CDTF">2026-08-22T04:55:35Z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