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Expansion of State Commission on Judicial Conduct Filing Locations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The State Commission on Judicial Conduct must establish brick-and-mortar locations across Texas for in-person filing of complaints. This reform eliminates barriers created by mail-only and complex sworn-form requirements, ensuring all Texans can exercise their right to redress judicial misconduct without undue hardship. 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Associated RPT support: Preservation of Constitution plank (Judicial Overreach section), Citizen Rights plank, Parents’ Rights plank, Family Law plank, and Rule No. 4 of the RPT Rules (adoption by reference of the Texas Constitution). This resolution does not duplicate any existing 2024 RPT Platform plank. 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>The current mail-only process perverts the RPT Preamble and Principles by impairing constitutional due process and open-courts protections, undermining the Party’s mission to safeguard families and children from judicial overreach in family courts.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SC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LibreOffice/25.8.3.2$Windows_X86_64 LibreOffice_project/8ca8d55c161d602844f5428fa4b58097424e324e</Application>
  <AppVersion>15.0000</AppVersion>
  <Pages>1</Pages>
  <Words>130</Words>
  <Characters>822</Characters>
  <CharactersWithSpaces>949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2026-03-05T16:45:55Z</dcterms:created>
  <dc:creator/>
  <dc:description/>
  <dc:language>en-US</dc:language>
  <cp:lastModifiedBy/>
  <dcterms:modified xsi:type="dcterms:W3CDTF">2026-03-05T16:49:12Z</dcterms:modified>
  <cp:revision>1</cp:revision>
  <dc:subject/>
  <dc:title/>
</cp:coreProperties>
</file>