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w:t>
      </w:r>
      <w:r>
        <w:rPr>
          <w:rFonts w:eastAsia="Times New Roman" w:cs="Times New Roman" w:ascii="Times New Roman" w:hAnsi="Times New Roman"/>
          <w:b/>
          <w:bCs/>
          <w:sz w:val="24"/>
          <w:szCs w:val="24"/>
          <w:lang w:val="en-US"/>
        </w:rPr>
        <w:t xml:space="preserve"> Resolution Prohibiting Developers from Profiteering from Eminent Domain Takings</w:t>
      </w:r>
    </w:p>
    <w:p>
      <w:pPr>
        <w:pStyle w:val="Normal"/>
        <w:numPr>
          <w:ilvl w:val="0"/>
          <w:numId w:val="0"/>
        </w:numPr>
        <w:spacing w:lineRule="auto" w:line="240" w:beforeAutospacing="1" w:afterAutospacing="1"/>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NOW, THEREFORE, BE IT RESOLVED,</w:t>
      </w:r>
      <w:r>
        <w:rPr>
          <w:rFonts w:eastAsia="Times New Roman" w:cs="Times New Roman" w:ascii="Times New Roman" w:hAnsi="Times New Roman"/>
          <w:sz w:val="24"/>
          <w:szCs w:val="24"/>
          <w:lang w:val="en-US"/>
        </w:rPr>
        <w:t xml:space="preserve"> that we, the Red River County Executive Committee, in accordance with the Republican Party of Texas Platform, hereby declare the following:</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 xml:space="preserve">1. </w:t>
      </w:r>
      <w:r>
        <w:rPr>
          <w:rFonts w:eastAsia="Times New Roman" w:cs="Times New Roman" w:ascii="Times New Roman" w:hAnsi="Times New Roman"/>
          <w:b/>
          <w:bCs/>
          <w:sz w:val="24"/>
          <w:szCs w:val="24"/>
          <w:lang w:val="en-US"/>
        </w:rPr>
        <w:t>Platform Alignment</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This resolution is adopted in direct support of the Republican Party of Texas Platform, including but not limited to:</w:t>
      </w:r>
    </w:p>
    <w:p>
      <w:pPr>
        <w:pStyle w:val="Normal"/>
        <w:numPr>
          <w:ilvl w:val="0"/>
          <w:numId w:val="17"/>
        </w:numPr>
        <w:spacing w:lineRule="auto" w:line="240" w:beforeAutospacing="1"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Plank 33 – Private Property Rights, affirming that private property shall not be taken, damaged, or destroyed for private use.</w:t>
      </w:r>
    </w:p>
    <w:p>
      <w:pPr>
        <w:pStyle w:val="Normal"/>
        <w:numPr>
          <w:ilvl w:val="0"/>
          <w:numId w:val="17"/>
        </w:numPr>
        <w:spacing w:lineRule="auto" w:line="240" w:before="0"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Plank 34 – Eminent Domain, opposing the use of eminent domain for private development, economic gain, or transfer to private entities.</w:t>
      </w:r>
    </w:p>
    <w:p>
      <w:pPr>
        <w:pStyle w:val="Normal"/>
        <w:numPr>
          <w:ilvl w:val="0"/>
          <w:numId w:val="17"/>
        </w:numPr>
        <w:spacing w:lineRule="auto" w:line="240" w:before="0"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Related planks opposing public - private partnerships that rely on coercive governmental authority to enrich private interests.</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 xml:space="preserve">2. </w:t>
      </w:r>
      <w:r>
        <w:rPr>
          <w:rFonts w:eastAsia="Times New Roman" w:cs="Times New Roman" w:ascii="Times New Roman" w:hAnsi="Times New Roman"/>
          <w:b/>
          <w:bCs/>
          <w:sz w:val="24"/>
          <w:szCs w:val="24"/>
          <w:lang w:val="en-US"/>
        </w:rPr>
        <w:t>Definitions</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For purposes of this resolution:</w:t>
      </w:r>
    </w:p>
    <w:p>
      <w:pPr>
        <w:pStyle w:val="Normal"/>
        <w:numPr>
          <w:ilvl w:val="0"/>
          <w:numId w:val="18"/>
        </w:numPr>
        <w:spacing w:lineRule="auto" w:line="240" w:beforeAutospacing="1"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w:t>
      </w:r>
      <w:r>
        <w:rPr>
          <w:rFonts w:eastAsia="Times New Roman" w:cs="Times New Roman" w:ascii="Times New Roman" w:hAnsi="Times New Roman"/>
          <w:b/>
          <w:bCs/>
          <w:sz w:val="24"/>
          <w:szCs w:val="24"/>
          <w:lang w:val="en-US"/>
        </w:rPr>
        <w:t>Developer”</w:t>
      </w:r>
      <w:r>
        <w:rPr>
          <w:rFonts w:eastAsia="Times New Roman" w:cs="Times New Roman" w:ascii="Times New Roman" w:hAnsi="Times New Roman"/>
          <w:sz w:val="24"/>
          <w:szCs w:val="24"/>
          <w:lang w:val="en-US"/>
        </w:rPr>
        <w:t xml:space="preserve"> means any private individual, corporation, partnership, or entity engaged in residential, commercial, industrial, or mixed - use real estate development.</w:t>
      </w:r>
    </w:p>
    <w:p>
      <w:pPr>
        <w:pStyle w:val="Normal"/>
        <w:numPr>
          <w:ilvl w:val="0"/>
          <w:numId w:val="18"/>
        </w:numPr>
        <w:spacing w:lineRule="auto" w:line="240" w:before="0"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w:t>
      </w:r>
      <w:r>
        <w:rPr>
          <w:rFonts w:eastAsia="Times New Roman" w:cs="Times New Roman" w:ascii="Times New Roman" w:hAnsi="Times New Roman"/>
          <w:b/>
          <w:bCs/>
          <w:sz w:val="24"/>
          <w:szCs w:val="24"/>
          <w:lang w:val="en-US"/>
        </w:rPr>
        <w:t>Eminent domain – acquired property”</w:t>
      </w:r>
      <w:r>
        <w:rPr>
          <w:rFonts w:eastAsia="Times New Roman" w:cs="Times New Roman" w:ascii="Times New Roman" w:hAnsi="Times New Roman"/>
          <w:sz w:val="24"/>
          <w:szCs w:val="24"/>
          <w:lang w:val="en-US"/>
        </w:rPr>
        <w:t xml:space="preserve"> means any real property obtained through condemnation or the threat of condemnation by a governmental or quasi - governmental entity.</w:t>
      </w:r>
    </w:p>
    <w:p>
      <w:pPr>
        <w:pStyle w:val="ListParagraph"/>
        <w:numPr>
          <w:ilvl w:val="0"/>
          <w:numId w:val="18"/>
        </w:numPr>
        <w:spacing w:lineRule="auto" w:line="278" w:before="0" w:after="160"/>
        <w:contextualSpacing/>
        <w:rPr>
          <w:rFonts w:ascii="Times New Roman" w:hAnsi="Times New Roman" w:cs="Times New Roman"/>
          <w:sz w:val="24"/>
          <w:szCs w:val="24"/>
        </w:rPr>
      </w:pPr>
      <w:r>
        <w:rPr>
          <w:rFonts w:cs="Times New Roman" w:ascii="Times New Roman" w:hAnsi="Times New Roman"/>
          <w:b/>
          <w:bCs/>
          <w:sz w:val="24"/>
          <w:szCs w:val="24"/>
        </w:rPr>
        <w:t>“</w:t>
      </w:r>
      <w:r>
        <w:rPr>
          <w:rFonts w:cs="Times New Roman" w:ascii="Times New Roman" w:hAnsi="Times New Roman"/>
          <w:b/>
          <w:bCs/>
          <w:sz w:val="24"/>
          <w:szCs w:val="24"/>
        </w:rPr>
        <w:t>Profit”</w:t>
      </w:r>
      <w:r>
        <w:rPr>
          <w:rFonts w:cs="Times New Roman" w:ascii="Times New Roman" w:hAnsi="Times New Roman"/>
          <w:sz w:val="24"/>
          <w:szCs w:val="24"/>
        </w:rPr>
        <w:t xml:space="preserve"> means any financial gain resulting from resale proceeds, lease income, development - related benefit, or other economic advantage in excess of the compensation paid to the original property owner and the documented public costs incurred to hold, maintain, or transfer the property.</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 xml:space="preserve">3. </w:t>
      </w:r>
      <w:r>
        <w:rPr>
          <w:rFonts w:eastAsia="Times New Roman" w:cs="Times New Roman" w:ascii="Times New Roman" w:hAnsi="Times New Roman"/>
          <w:b/>
          <w:bCs/>
          <w:sz w:val="24"/>
          <w:szCs w:val="24"/>
          <w:lang w:val="en-US"/>
        </w:rPr>
        <w:t>Prohibition on Developer Profiteering</w:t>
      </w:r>
    </w:p>
    <w:p>
      <w:pPr>
        <w:pStyle w:val="Normal"/>
        <w:numPr>
          <w:ilvl w:val="0"/>
          <w:numId w:val="19"/>
        </w:numPr>
        <w:spacing w:lineRule="auto" w:line="240" w:beforeAutospacing="1"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No developer shall directly or indirectly acquire, receive, lease, option, control, or benefit from property acquired through eminent domain for the purpose of private profit.</w:t>
      </w:r>
    </w:p>
    <w:p>
      <w:pPr>
        <w:pStyle w:val="Normal"/>
        <w:numPr>
          <w:ilvl w:val="0"/>
          <w:numId w:val="19"/>
        </w:numPr>
        <w:spacing w:lineRule="auto" w:line="240" w:before="0"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No governmental entity shall transfer or convey eminent domain – acquired property to a developer, or to any affiliate, successor, or related entity, where private economic gain is foreseeable.</w:t>
      </w:r>
    </w:p>
    <w:p>
      <w:pPr>
        <w:pStyle w:val="Normal"/>
        <w:numPr>
          <w:ilvl w:val="0"/>
          <w:numId w:val="19"/>
        </w:numPr>
        <w:spacing w:lineRule="auto" w:line="240" w:before="0"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Any public - private partnership, development agreement, or contractual arrangement that relies upon or benefits from eminent domain takings for private development purposes shall be deemed inconsistent with RPT Platform Plank 34 and contrary to the public interest.</w:t>
      </w:r>
    </w:p>
    <w:p>
      <w:pPr>
        <w:pStyle w:val="Normal"/>
        <w:numPr>
          <w:ilvl w:val="0"/>
          <w:numId w:val="0"/>
        </w:numPr>
        <w:spacing w:lineRule="auto" w:line="240" w:beforeAutospacing="1" w:afterAutospacing="1"/>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sz w:val="24"/>
          <w:szCs w:val="24"/>
          <w:lang w:val="en-US"/>
        </w:rPr>
        <w:t xml:space="preserve">4. </w:t>
      </w:r>
      <w:r>
        <w:rPr>
          <w:rFonts w:eastAsia="Times New Roman" w:cs="Times New Roman" w:ascii="Times New Roman" w:hAnsi="Times New Roman"/>
          <w:b/>
          <w:bCs/>
          <w:sz w:val="24"/>
          <w:szCs w:val="24"/>
          <w:lang w:val="en-US"/>
        </w:rPr>
        <w:t>Limitations on Use of Eminent Domain Property</w:t>
      </w:r>
    </w:p>
    <w:p>
      <w:pPr>
        <w:pStyle w:val="Normal"/>
        <w:numPr>
          <w:ilvl w:val="0"/>
          <w:numId w:val="20"/>
        </w:numPr>
        <w:spacing w:lineRule="auto" w:line="240" w:beforeAutospacing="1"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Property acquired through eminent domain shall be used solely for its stated public purpose, retained for continued public use, or returned to the original landowner, or their heirs or assigns.</w:t>
      </w:r>
    </w:p>
    <w:p>
      <w:pPr>
        <w:pStyle w:val="Normal"/>
        <w:numPr>
          <w:ilvl w:val="0"/>
          <w:numId w:val="20"/>
        </w:numPr>
        <w:spacing w:lineRule="auto" w:line="240" w:before="0"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Eminent domain – acquired property shall not be rezoned, marketed, banked, or positioned for private development following condemnation.</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 xml:space="preserve">5. </w:t>
      </w:r>
      <w:r>
        <w:rPr>
          <w:rFonts w:eastAsia="Times New Roman" w:cs="Times New Roman" w:ascii="Times New Roman" w:hAnsi="Times New Roman"/>
          <w:b/>
          <w:bCs/>
          <w:sz w:val="24"/>
          <w:szCs w:val="24"/>
          <w:lang w:val="en-US"/>
        </w:rPr>
        <w:t>Oversight and Accountability</w:t>
      </w:r>
    </w:p>
    <w:p>
      <w:pPr>
        <w:pStyle w:val="Normal"/>
        <w:numPr>
          <w:ilvl w:val="0"/>
          <w:numId w:val="21"/>
        </w:numPr>
        <w:spacing w:lineRule="auto" w:line="240" w:beforeAutospacing="1" w:after="0"/>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Any project involving eminent domain shall include a written finding that no private developer will benefit directly or indirectly from the taking, consistent with RPT Platform Planks 33 and 34.</w:t>
      </w:r>
    </w:p>
    <w:p>
      <w:pPr>
        <w:pStyle w:val="Normal"/>
        <w:numPr>
          <w:ilvl w:val="0"/>
          <w:numId w:val="21"/>
        </w:numPr>
        <w:spacing w:lineRule="auto" w:line="240" w:before="0"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Any transfer or use of eminent domain – acquired property in violation of this resolution shall be deemed inconsistent with Republican Party principles, and subject to nullification and reversion to the original landowner to the fullest extent permitted by law.</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BE IT FINALLY RESOLVED,</w:t>
      </w:r>
      <w:r>
        <w:rPr>
          <w:rFonts w:eastAsia="Times New Roman" w:cs="Times New Roman" w:ascii="Times New Roman" w:hAnsi="Times New Roman"/>
          <w:sz w:val="24"/>
          <w:szCs w:val="24"/>
          <w:lang w:val="en-US"/>
        </w:rPr>
        <w:t xml:space="preserve"> that this resolution shall take effect immediately upon adoption by the Red River County Executive Committee and shall be forwarded to the Republican Party of Texas, the State Republican Executive Committee (SREC), the Texas Legislature, and the Governor of Texas as a formal request that the RPT Platform be enforced and that developers be permanently prohibited from profiting from eminent domain takings.</w:t>
      </w:r>
    </w:p>
    <w:p>
      <w:pPr>
        <w:pStyle w:val="Normal"/>
        <w:numPr>
          <w:ilvl w:val="0"/>
          <w:numId w:val="0"/>
        </w:numPr>
        <w:spacing w:lineRule="auto" w:line="240" w:beforeAutospacing="1" w:afterAutospacing="1"/>
        <w:jc w:val="center"/>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