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 Resolution Prohibiting the Use of Taxpayer Funds for Religious or Ideological Advocacy and Affirming the Supremacy of Texas and United States Law</w:t>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NOW, THEREFORE, BE IT RESOLVED, </w:t>
      </w:r>
      <w:r>
        <w:rPr>
          <w:rFonts w:eastAsia="Times New Roman" w:cs="Times New Roman" w:ascii="Times New Roman" w:hAnsi="Times New Roman"/>
          <w:sz w:val="24"/>
          <w:szCs w:val="24"/>
          <w:lang w:val="en-US"/>
        </w:rPr>
        <w:t>that the Red River County Executive Committee  affirms the:</w:t>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1. Constitutional Supremacy:</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The Constitutions of the State of Texas and the United States are affirmed as the supreme law of this state, and a foreign law or legal system may not be applied or enforced in an official capacity if such application would violate constitutional rights.</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2. Use of Public Funds:</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Taxpayer funds at any level of Texas government may not be used for the purpose of advancing or endorsing religious doctrine or ideological advocacy, whether domestic or foreign.</w:t>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3. Foreign Religious Legal Systems:</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A foreign religious legal system, including Sharia law, may not be applied or enforced as governing law by a Texas court, agency, or political subdivision acting in an official capacity.</w:t>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4.</w:t>
      </w:r>
      <w:r>
        <w:rPr>
          <w:rFonts w:eastAsia="Times New Roman" w:cs="Times New Roman" w:ascii="Times New Roman" w:hAnsi="Times New Roman"/>
          <w:sz w:val="24"/>
          <w:szCs w:val="24"/>
          <w:lang w:val="en-US"/>
        </w:rPr>
        <w:t xml:space="preserve"> </w:t>
      </w:r>
      <w:r>
        <w:rPr>
          <w:rFonts w:eastAsia="Times New Roman" w:cs="Times New Roman" w:ascii="Times New Roman" w:hAnsi="Times New Roman"/>
          <w:b/>
          <w:bCs/>
          <w:sz w:val="24"/>
          <w:szCs w:val="24"/>
          <w:lang w:val="en-US"/>
        </w:rPr>
        <w:t>Funding and Influence Safeguards:</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Taxpayer funds may not be granted, contracted, disbursed, or otherwise provided to any organization, contractor, grantee, or program that promotes, seeks to implement, or advocates allegiance to a foreign legal system, religious legal system, or extremist doctrine that conflicts with the Constitutions of Texas or the United States.</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Further, Texas law should prohibit any organization or foreign source engaged in religious or ideological advocacy hostile to constitutional governance from providing money, services, or in - kind benefits to a Texas governmental entity or public servant with the intent to influence the exercise of official discretion.</w:t>
      </w:r>
    </w:p>
    <w:p>
      <w:pPr>
        <w:pStyle w:val="Normal"/>
        <w:ind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State agencies and political subdivisions should require disclosures sufficient to identify prohibited sources of funding, disqualify noncompliant entities from public contracts or grants, and require forfeiture of funds received in violation of law.</w:t>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5. Criminal Enforcement:</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The Texas Legislature is urged to enact statutory provisions establishing criminal liability for an offense committed by a person who, acting knowingly or intentionally, and in an official capacity or in connection with public funds, does any of the following:</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(a) Misuse of Public Funds</w:t>
      </w:r>
      <w:r>
        <w:rPr>
          <w:rFonts w:eastAsia="Times New Roman" w:cs="Times New Roman" w:ascii="Times New Roman" w:hAnsi="Times New Roman"/>
          <w:sz w:val="24"/>
          <w:szCs w:val="24"/>
          <w:lang w:val="en-US"/>
        </w:rPr>
        <w:t>:</w:t>
        <w:br/>
        <w:t xml:space="preserve">            Uses, authorizes the use of, or knowingly permits the use of taxpayer funds for the purpose of advancing or endorsing religious doctrine or ideological advocacy in violation of constitutional protections.</w:t>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 Prohibited Contributions and Influence:</w:t>
      </w:r>
      <w:r>
        <w:rPr>
          <w:rFonts w:eastAsia="Times New Roman" w:cs="Times New Roman" w:ascii="Times New Roman" w:hAnsi="Times New Roman"/>
          <w:sz w:val="24"/>
          <w:szCs w:val="24"/>
          <w:lang w:val="en-US"/>
        </w:rPr>
        <w:br/>
        <w:t xml:space="preserve">           Solicits, accepts, agrees to accept, or conceals money, services, or in - kind benefits from a prohibited organization or foreign source with intent to influence the exercise of official discretion.</w:t>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(c) Application of Foreign or Religious Law:</w:t>
      </w:r>
      <w:r>
        <w:rPr>
          <w:rFonts w:eastAsia="Times New Roman" w:cs="Times New Roman" w:ascii="Times New Roman" w:hAnsi="Times New Roman"/>
          <w:sz w:val="24"/>
          <w:szCs w:val="24"/>
          <w:lang w:val="en-US"/>
        </w:rPr>
        <w:br/>
        <w:t xml:space="preserve">            Applies, enforces, or purports to apply a foreign religious or ideological legal system as governing law in an official capacity when such application conflicts with the Constitutions of the State of Texas or the United States.</w:t>
      </w:r>
    </w:p>
    <w:p>
      <w:pPr>
        <w:pStyle w:val="Normal"/>
        <w:ind w:start="144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ind w:firstLine="36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The Legislature is further urged to provide that:</w:t>
      </w:r>
    </w:p>
    <w:p>
      <w:pPr>
        <w:pStyle w:val="Normal"/>
        <w:numPr>
          <w:ilvl w:val="0"/>
          <w:numId w:val="22"/>
        </w:numPr>
        <w:tabs>
          <w:tab w:val="left" w:pos="720" w:leader="none"/>
        </w:tabs>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Each act constituting an offense may be prosecuted separately.</w:t>
      </w:r>
    </w:p>
    <w:p>
      <w:pPr>
        <w:pStyle w:val="Normal"/>
        <w:numPr>
          <w:ilvl w:val="0"/>
          <w:numId w:val="22"/>
        </w:numPr>
        <w:tabs>
          <w:tab w:val="left" w:pos="720" w:leader="none"/>
        </w:tabs>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Criminal liability applies to public officials, public employees, contractors, and grant recipients acting under color of law.</w:t>
      </w:r>
    </w:p>
    <w:p>
      <w:pPr>
        <w:pStyle w:val="Normal"/>
        <w:numPr>
          <w:ilvl w:val="0"/>
          <w:numId w:val="22"/>
        </w:numPr>
        <w:tabs>
          <w:tab w:val="left" w:pos="720" w:leader="none"/>
        </w:tabs>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Prosecution does not preclude civil remedies, forfeiture, contract termination, or administrative sanctions as otherwise permitted by law.</w:t>
      </w:r>
    </w:p>
    <w:p>
      <w:pPr>
        <w:pStyle w:val="Normal"/>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ind w:firstLine="720"/>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6. Oversight and Compliance:</w:t>
      </w:r>
    </w:p>
    <w:p>
      <w:pPr>
        <w:pStyle w:val="Normal"/>
        <w:ind w:firstLine="720" w:start="72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State agencies and political subdivisions should conduct audits and compliance reviews as authorized by law to ensure adherence to these requirements.</w:t>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r>
    </w:p>
    <w:p>
      <w:pPr>
        <w:pStyle w:val="Normal"/>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BE IT FINALLY RESOLVED, </w:t>
      </w:r>
      <w:r>
        <w:rPr>
          <w:rFonts w:eastAsia="Times New Roman" w:cs="Times New Roman" w:ascii="Times New Roman" w:hAnsi="Times New Roman"/>
          <w:sz w:val="24"/>
          <w:szCs w:val="24"/>
          <w:lang w:val="en-US"/>
        </w:rPr>
        <w:t>that the Red River County Executive Committee hereby adopts this resolution and directs that copies be forwarded to the State Republican Executive Committee and to all Republican members of the Texas Legislature.</w:t>
      </w:r>
    </w:p>
    <w:p>
      <w:pPr>
        <w:pStyle w:val="Normal"/>
        <w:rPr/>
      </w:pPr>
      <w:r>
        <w:rPr/>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