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A Resolution Supporting Mandatory Annual Active Shooter Preparedness Training for All Texas Public School Personnel</w:t>
      </w:r>
    </w:p>
    <w:p>
      <w:pPr>
        <w:pStyle w:val="Normal"/>
        <w:spacing w:lineRule="auto" w:line="240" w:beforeAutospacing="1" w:afterAutospacing="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NOW, THEREFORE, BE IT RESOLVED</w:t>
      </w:r>
      <w:r>
        <w:rPr>
          <w:rFonts w:eastAsia="Times New Roman" w:cs="Times New Roman" w:ascii="Times New Roman" w:hAnsi="Times New Roman"/>
          <w:sz w:val="24"/>
          <w:szCs w:val="24"/>
          <w:lang w:val="en-US"/>
        </w:rPr>
        <w:t>, that the Red River County Executive Committee affirms its commitment to the safety and well - being of Texas children by supporting mandatory active shooter preparedness training for all Texas public school personnel statewide, consistent with Republican Party of Texas Platform Planks 87, 104, and 105; and</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FURTHER RESOLVED</w:t>
      </w:r>
      <w:r>
        <w:rPr>
          <w:rFonts w:eastAsia="Times New Roman" w:cs="Times New Roman" w:ascii="Times New Roman" w:hAnsi="Times New Roman"/>
          <w:sz w:val="24"/>
          <w:szCs w:val="24"/>
          <w:lang w:val="en-US"/>
        </w:rPr>
        <w:t>, that such training shall be mandatory for all public school employees upon hiring and shall thereafter be conducted no less than once per academic year (annually), ensuring uniform, continuous, and statewide preparedness across all Texas public school districts, consistent with Texas Education Code Chapter 37; and</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FURTHER RESOLVED</w:t>
      </w:r>
      <w:r>
        <w:rPr>
          <w:rFonts w:eastAsia="Times New Roman" w:cs="Times New Roman" w:ascii="Times New Roman" w:hAnsi="Times New Roman"/>
          <w:sz w:val="24"/>
          <w:szCs w:val="24"/>
          <w:lang w:val="en-US"/>
        </w:rPr>
        <w:t>, that annual training shall be required regardless of employee role, including but not limited to instructional staff, administrators, substitute teachers, transportation personnel, and support staff, to ensure comprehensive campus - wide readiness; and</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FURTHER RESOLVED</w:t>
      </w:r>
      <w:r>
        <w:rPr>
          <w:rFonts w:eastAsia="Times New Roman" w:cs="Times New Roman" w:ascii="Times New Roman" w:hAnsi="Times New Roman"/>
          <w:sz w:val="24"/>
          <w:szCs w:val="24"/>
          <w:lang w:val="en-US"/>
        </w:rPr>
        <w:t>, that active shooter preparedness training shall include, at a minimum:</w:t>
      </w:r>
    </w:p>
    <w:p>
      <w:pPr>
        <w:pStyle w:val="Normal"/>
        <w:numPr>
          <w:ilvl w:val="0"/>
          <w:numId w:val="23"/>
        </w:numPr>
        <w:spacing w:lineRule="auto" w:line="240" w:beforeAutospacing="1" w:after="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Prevention and early identification of potential threats.</w:t>
      </w:r>
    </w:p>
    <w:p>
      <w:pPr>
        <w:pStyle w:val="Normal"/>
        <w:numPr>
          <w:ilvl w:val="0"/>
          <w:numId w:val="23"/>
        </w:numPr>
        <w:spacing w:lineRule="auto" w:line="240" w:before="0" w:after="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Clear emergency communication and coordination with local law enforcement and first responders, as encouraged by Texas Education Code §37.081(b)(3) and Republican Party of Texas Platform Plank 87 (Public Safety).</w:t>
      </w:r>
    </w:p>
    <w:p>
      <w:pPr>
        <w:pStyle w:val="Normal"/>
        <w:numPr>
          <w:ilvl w:val="0"/>
          <w:numId w:val="23"/>
        </w:numPr>
        <w:spacing w:lineRule="auto" w:line="240" w:before="0" w:after="0"/>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Student - centered protective actions appropriate to the school environment.</w:t>
      </w:r>
    </w:p>
    <w:p>
      <w:pPr>
        <w:pStyle w:val="Normal"/>
        <w:numPr>
          <w:ilvl w:val="0"/>
          <w:numId w:val="23"/>
        </w:numPr>
        <w:spacing w:lineRule="auto" w:line="240" w:before="0" w:afterAutospacing="1"/>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Trauma - informed practices designed to minimize fear and reduce long - term psychological harm, consistent with Republican Party of Texas Platform Plank 105 (Parental Rights in Education).</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FURTHER RESOLVED</w:t>
      </w:r>
      <w:r>
        <w:rPr>
          <w:rFonts w:eastAsia="Times New Roman" w:cs="Times New Roman" w:ascii="Times New Roman" w:hAnsi="Times New Roman"/>
          <w:sz w:val="24"/>
          <w:szCs w:val="24"/>
          <w:lang w:val="en-US"/>
        </w:rPr>
        <w:t>, that the Red River County Executive Committee supports the use of evidence - based, age - appropriate, and non - sensationalized training methods that respect the professional role of educators while prioritizing student safety, in accordance with Republican Party of Texas Platform Plank 104 (School Safety); and</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FINALLY RESOLVED</w:t>
      </w:r>
      <w:r>
        <w:rPr>
          <w:rFonts w:eastAsia="Times New Roman" w:cs="Times New Roman" w:ascii="Times New Roman" w:hAnsi="Times New Roman"/>
          <w:sz w:val="24"/>
          <w:szCs w:val="24"/>
          <w:lang w:val="en-US"/>
        </w:rPr>
        <w:t>, that the Red River County Executive Committee calls upon the Texas Legislature, the Texas Education Agency, and local school districts to codify and enforce mandatory annual active shooter preparedness training requirements consistent with Texas Education Code §§37.081, 37.114, and 37.115 and Republican Party of Texas Platform Planks 87, 104, and 105, to ensure that every Texas public school is prepared at all times to respond effectively to emergencies and protect the lives of students and school personnel.</w:t>
      </w:r>
    </w:p>
    <w:p>
      <w:pPr>
        <w:pStyle w:val="Normal"/>
        <w:rPr/>
      </w:pPr>
      <w:r>
        <w:rPr/>
      </w:r>
    </w:p>
    <w:p>
      <w:pPr>
        <w:pStyle w:val="Normal"/>
        <w:numPr>
          <w:ilvl w:val="0"/>
          <w:numId w:val="0"/>
        </w:numPr>
        <w:spacing w:lineRule="auto" w:line="240" w:beforeAutospacing="1" w:afterAutospacing="1"/>
        <w:jc w:val="center"/>
        <w:outlineLvl w:val="0"/>
        <w:rPr>
          <w:rFonts w:ascii="Times New Roman" w:hAnsi="Times New Roman" w:eastAsia="Times New Roman" w:cs="Times New Roman"/>
          <w:b/>
          <w:bCs/>
          <w:kern w:val="2"/>
          <w:sz w:val="24"/>
          <w:szCs w:val="24"/>
        </w:rPr>
      </w:pPr>
      <w:r>
        <w:rPr>
          <w:rFonts w:eastAsia="Times New Roman" w:cs="Times New Roman" w:ascii="Times New Roman" w:hAnsi="Times New Roman"/>
          <w:b/>
          <w:bCs/>
          <w:kern w:val="2"/>
          <w:sz w:val="24"/>
          <w:szCs w:val="24"/>
        </w:rPr>
      </w:r>
      <w:r>
        <w:br w:type="page"/>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